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D9" w:rsidRPr="009610D9" w:rsidRDefault="009610D9" w:rsidP="009610D9">
      <w:pPr>
        <w:pStyle w:val="2"/>
        <w:shd w:val="clear" w:color="auto" w:fill="FFFFFF"/>
        <w:spacing w:before="240" w:beforeAutospacing="0" w:after="60" w:afterAutospacing="0"/>
        <w:ind w:left="24"/>
        <w:jc w:val="center"/>
        <w:rPr>
          <w:sz w:val="28"/>
          <w:szCs w:val="28"/>
          <w:shd w:val="clear" w:color="auto" w:fill="FFFFFF"/>
        </w:rPr>
      </w:pPr>
      <w:r w:rsidRPr="009610D9">
        <w:rPr>
          <w:sz w:val="28"/>
          <w:szCs w:val="28"/>
          <w:shd w:val="clear" w:color="auto" w:fill="FFFFFF"/>
        </w:rPr>
        <w:t>Пр</w:t>
      </w:r>
      <w:r w:rsidR="00F66981">
        <w:rPr>
          <w:sz w:val="28"/>
          <w:szCs w:val="28"/>
          <w:shd w:val="clear" w:color="auto" w:fill="FFFFFF"/>
        </w:rPr>
        <w:t>о реєстрацію та зняття з обліку</w:t>
      </w:r>
      <w:r w:rsidRPr="009610D9">
        <w:rPr>
          <w:sz w:val="28"/>
          <w:szCs w:val="28"/>
          <w:shd w:val="clear" w:color="auto" w:fill="FFFFFF"/>
        </w:rPr>
        <w:t xml:space="preserve"> сільськогосподарської техніки</w:t>
      </w:r>
    </w:p>
    <w:p w:rsidR="00D635AA" w:rsidRPr="009610D9" w:rsidRDefault="00D635AA" w:rsidP="009610D9">
      <w:pPr>
        <w:pStyle w:val="2"/>
        <w:shd w:val="clear" w:color="auto" w:fill="FFFFFF"/>
        <w:spacing w:before="240" w:beforeAutospacing="0" w:after="60" w:afterAutospacing="0"/>
        <w:ind w:left="24"/>
        <w:jc w:val="both"/>
        <w:rPr>
          <w:b w:val="0"/>
          <w:sz w:val="28"/>
          <w:szCs w:val="28"/>
          <w:shd w:val="clear" w:color="auto" w:fill="FFFFFF"/>
        </w:rPr>
      </w:pPr>
      <w:r w:rsidRPr="009610D9">
        <w:rPr>
          <w:b w:val="0"/>
          <w:sz w:val="28"/>
          <w:szCs w:val="28"/>
          <w:shd w:val="clear" w:color="auto" w:fill="FFFFFF"/>
        </w:rPr>
        <w:t>Р</w:t>
      </w:r>
      <w:r w:rsidR="00F66981">
        <w:rPr>
          <w:b w:val="0"/>
          <w:sz w:val="28"/>
          <w:szCs w:val="28"/>
          <w:shd w:val="clear" w:color="auto" w:fill="FFFFFF"/>
        </w:rPr>
        <w:t xml:space="preserve">еєстрація сільськогосподарської </w:t>
      </w:r>
      <w:r w:rsidRPr="009610D9">
        <w:rPr>
          <w:b w:val="0"/>
          <w:sz w:val="28"/>
          <w:szCs w:val="28"/>
          <w:shd w:val="clear" w:color="auto" w:fill="FFFFFF"/>
        </w:rPr>
        <w:t>тех</w:t>
      </w:r>
      <w:r w:rsidR="00B94C1A" w:rsidRPr="009610D9">
        <w:rPr>
          <w:b w:val="0"/>
          <w:sz w:val="28"/>
          <w:szCs w:val="28"/>
          <w:shd w:val="clear" w:color="auto" w:fill="FFFFFF"/>
        </w:rPr>
        <w:t>ніки проводиться територіальним органом</w:t>
      </w:r>
      <w:r w:rsidRPr="009610D9">
        <w:rPr>
          <w:b w:val="0"/>
          <w:sz w:val="28"/>
          <w:szCs w:val="28"/>
          <w:shd w:val="clear" w:color="auto" w:fill="FFFFFF"/>
        </w:rPr>
        <w:t> </w:t>
      </w:r>
      <w:r w:rsidRPr="009610D9">
        <w:rPr>
          <w:b w:val="0"/>
          <w:bCs w:val="0"/>
          <w:sz w:val="28"/>
          <w:szCs w:val="28"/>
          <w:shd w:val="clear" w:color="auto" w:fill="FFFFFF"/>
        </w:rPr>
        <w:t>Державної служби України з питань безпечності харчових продуктів та захисту споживачів</w:t>
      </w:r>
      <w:r w:rsidRPr="009610D9">
        <w:rPr>
          <w:b w:val="0"/>
          <w:sz w:val="28"/>
          <w:szCs w:val="28"/>
          <w:shd w:val="clear" w:color="auto" w:fill="FFFFFF"/>
        </w:rPr>
        <w:t> </w:t>
      </w:r>
      <w:r w:rsidR="00B94C1A" w:rsidRPr="009610D9">
        <w:rPr>
          <w:b w:val="0"/>
          <w:sz w:val="28"/>
          <w:szCs w:val="28"/>
          <w:shd w:val="clear" w:color="auto" w:fill="FFFFFF"/>
        </w:rPr>
        <w:t xml:space="preserve"> України в Закарпатській області </w:t>
      </w:r>
      <w:r w:rsidR="009610D9">
        <w:rPr>
          <w:b w:val="0"/>
          <w:sz w:val="28"/>
          <w:szCs w:val="28"/>
          <w:shd w:val="clear" w:color="auto" w:fill="FFFFFF"/>
        </w:rPr>
        <w:t>(далі –</w:t>
      </w:r>
      <w:r w:rsidRPr="009610D9">
        <w:rPr>
          <w:b w:val="0"/>
          <w:sz w:val="28"/>
          <w:szCs w:val="28"/>
          <w:shd w:val="clear" w:color="auto" w:fill="FFFFFF"/>
        </w:rPr>
        <w:t xml:space="preserve"> </w:t>
      </w:r>
      <w:r w:rsidR="00B94C1A" w:rsidRPr="009610D9">
        <w:rPr>
          <w:b w:val="0"/>
          <w:sz w:val="28"/>
          <w:szCs w:val="28"/>
          <w:shd w:val="clear" w:color="auto" w:fill="FFFFFF"/>
        </w:rPr>
        <w:t>Держпродспоживслужба</w:t>
      </w:r>
      <w:r w:rsidRPr="009610D9">
        <w:rPr>
          <w:b w:val="0"/>
          <w:sz w:val="28"/>
          <w:szCs w:val="28"/>
          <w:shd w:val="clear" w:color="auto" w:fill="FFFFFF"/>
        </w:rPr>
        <w:t>)</w:t>
      </w:r>
      <w:r w:rsidR="00B94C1A" w:rsidRPr="009610D9">
        <w:rPr>
          <w:b w:val="0"/>
          <w:sz w:val="28"/>
          <w:szCs w:val="28"/>
          <w:shd w:val="clear" w:color="auto" w:fill="FFFFFF"/>
        </w:rPr>
        <w:t xml:space="preserve"> на підставі </w:t>
      </w:r>
      <w:r w:rsidR="009610D9">
        <w:rPr>
          <w:b w:val="0"/>
          <w:sz w:val="28"/>
          <w:szCs w:val="28"/>
          <w:shd w:val="clear" w:color="auto" w:fill="FFFFFF"/>
        </w:rPr>
        <w:t xml:space="preserve">таких </w:t>
      </w:r>
      <w:r w:rsidR="00F66981">
        <w:rPr>
          <w:b w:val="0"/>
          <w:sz w:val="28"/>
          <w:szCs w:val="28"/>
          <w:shd w:val="clear" w:color="auto" w:fill="FFFFFF"/>
        </w:rPr>
        <w:t>нормативних документів</w:t>
      </w:r>
      <w:r w:rsidR="00B94C1A" w:rsidRPr="009610D9">
        <w:rPr>
          <w:b w:val="0"/>
          <w:sz w:val="28"/>
          <w:szCs w:val="28"/>
          <w:shd w:val="clear" w:color="auto" w:fill="FFFFFF"/>
        </w:rPr>
        <w:t xml:space="preserve">: </w:t>
      </w:r>
    </w:p>
    <w:p w:rsidR="00B94C1A" w:rsidRPr="009610D9" w:rsidRDefault="004944AF" w:rsidP="009610D9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6" w:history="1">
        <w:r w:rsidR="00B94C1A" w:rsidRPr="009610D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Постанови</w:t>
        </w:r>
        <w:r w:rsidR="00D635AA" w:rsidRPr="009610D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Кабінету міністрів Україн</w:t>
        </w:r>
        <w:r w:rsidR="009610D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и від 08 липня 2009 року № 694 «</w:t>
        </w:r>
        <w:r w:rsidR="00D635AA" w:rsidRPr="009610D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Про затвердження Порядку відомчої реєстрації та зняття з обліку тракторів, самохідних шасі, самохідних сільськогосподарських, </w:t>
        </w:r>
        <w:proofErr w:type="spellStart"/>
        <w:r w:rsidR="00D635AA" w:rsidRPr="009610D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дорожньо-будівельних</w:t>
        </w:r>
        <w:proofErr w:type="spellEnd"/>
        <w:r w:rsidR="00D635AA" w:rsidRPr="009610D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і меліоративних машин, сільськогосподарської техніки, інших механізмів</w:t>
        </w:r>
        <w:r w:rsidR="009610D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» </w:t>
        </w:r>
      </w:hyperlink>
      <w:r w:rsidR="00B94C1A"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Порядок)</w:t>
      </w:r>
    </w:p>
    <w:p w:rsidR="00B94C1A" w:rsidRPr="00F66981" w:rsidRDefault="00B94C1A" w:rsidP="00B94C1A">
      <w:pPr>
        <w:pStyle w:val="2"/>
        <w:shd w:val="clear" w:color="auto" w:fill="FFFFFF"/>
        <w:spacing w:before="240" w:beforeAutospacing="0" w:after="60" w:afterAutospacing="0"/>
        <w:rPr>
          <w:bCs w:val="0"/>
          <w:sz w:val="28"/>
          <w:szCs w:val="28"/>
          <w:u w:val="single"/>
        </w:rPr>
      </w:pPr>
      <w:r w:rsidRPr="00F66981">
        <w:rPr>
          <w:rStyle w:val="mw-headline"/>
          <w:bCs w:val="0"/>
          <w:sz w:val="28"/>
          <w:szCs w:val="28"/>
          <w:u w:val="single"/>
        </w:rPr>
        <w:t>Загальний порядок здійснення реєстрації</w:t>
      </w:r>
    </w:p>
    <w:p w:rsidR="00B94C1A" w:rsidRPr="009610D9" w:rsidRDefault="00B94C1A" w:rsidP="00B94C1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>Машина реєструється </w:t>
      </w:r>
      <w:r w:rsidRPr="009610D9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протягом семи днів</w:t>
      </w:r>
      <w:r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> на підставі зареєстрованої в установленому порядку державним інспектором заяви власника або уповноваженої ним особи у разі, коли документи, що додаються до заяви, подані у повному обсязі.</w:t>
      </w:r>
    </w:p>
    <w:p w:rsidR="00B94C1A" w:rsidRPr="00F66981" w:rsidRDefault="00B94C1A" w:rsidP="00B94C1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F669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До заяви додаються</w:t>
      </w:r>
      <w:r w:rsidRPr="00F669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B94C1A" w:rsidRPr="009610D9" w:rsidRDefault="009610D9" w:rsidP="009610D9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B94C1A"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документи, що підтверджують право власності або правомірність використання машини;</w:t>
      </w:r>
    </w:p>
    <w:p w:rsidR="00B94C1A" w:rsidRPr="009610D9" w:rsidRDefault="009610D9" w:rsidP="009610D9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B94C1A"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документи, що підтверджують сплату передбачених законодавством податків, а також зборів за послуги, що надаються територіальним органом Держпродспоживслужби;</w:t>
      </w:r>
    </w:p>
    <w:p w:rsidR="00B94C1A" w:rsidRPr="009610D9" w:rsidRDefault="009610D9" w:rsidP="009610D9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B94C1A"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копії па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спорта та картки фізичної особи-</w:t>
      </w:r>
      <w:r w:rsidR="00B94C1A"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платника податків п</w:t>
      </w:r>
      <w:r w:rsidR="00F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 присвоєння ідентифікаційного </w:t>
      </w:r>
      <w:r w:rsidR="00B94C1A"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номера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ержавного реєстру фізичних осіб-</w:t>
      </w:r>
      <w:r w:rsidR="00B94C1A"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платників податків та інших обов'язкових платників (для фізичної особи);</w:t>
      </w:r>
    </w:p>
    <w:p w:rsidR="00B94C1A" w:rsidRPr="009610D9" w:rsidRDefault="009610D9" w:rsidP="009610D9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B94C1A"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документ, що посвідчує особу представника власника та його повноваження (у разі потреби);</w:t>
      </w:r>
    </w:p>
    <w:p w:rsidR="00B94C1A" w:rsidRPr="009610D9" w:rsidRDefault="009610D9" w:rsidP="009610D9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B94C1A"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свідоцтво про реєстрацію машини з відміткою про її зняття з обліку попереднім власником (якщо машина перебувала в експлуатації та була зареєстрована в територіальному органі Держпродспоживслужби чи іншому державному органі);</w:t>
      </w:r>
    </w:p>
    <w:p w:rsidR="00B94C1A" w:rsidRPr="009610D9" w:rsidRDefault="009610D9" w:rsidP="009610D9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B94C1A"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>митна декларація на паперовому носії або її копія, засвідчена в установленому порядку, або електронна митна декларація, або уніфікована митна квитанція МД-1 - для машин, що ввезені на митну територію України та реєструються вперше;</w:t>
      </w:r>
    </w:p>
    <w:p w:rsidR="00B94C1A" w:rsidRPr="009610D9" w:rsidRDefault="009610D9" w:rsidP="009610D9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B94C1A"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 про присвоєння ідентифікаційного номера (у разі реєстрації машини, якій ідентифікаційний номер присвоєно відповідно до п. 14 Порядку);</w:t>
      </w:r>
    </w:p>
    <w:p w:rsidR="009D51F9" w:rsidRPr="009610D9" w:rsidRDefault="009610D9" w:rsidP="009610D9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- </w:t>
      </w:r>
      <w:r w:rsidR="00B94C1A"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висновок спеціаліста;</w:t>
      </w:r>
    </w:p>
    <w:p w:rsidR="00B94C1A" w:rsidRPr="00F66981" w:rsidRDefault="00B94C1A" w:rsidP="00B94C1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669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Для машин, які реєструються вперше</w:t>
      </w:r>
      <w:r w:rsidRPr="00F669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B94C1A" w:rsidRPr="009610D9" w:rsidRDefault="009610D9" w:rsidP="009610D9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B94C1A"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декларація про відповідність, оформлена виробником або його уповноваженим представником,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B94C1A"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машин, на які поширюється дія Технічного регламенту безпеки машин, затвердженого постановою Кабінету Міністрів України від 30 січня 2013 р. №62;</w:t>
      </w:r>
    </w:p>
    <w:p w:rsidR="00B94C1A" w:rsidRPr="009610D9" w:rsidRDefault="009610D9" w:rsidP="009610D9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с</w:t>
      </w:r>
      <w:r w:rsidR="00B94C1A"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ертифікат затвердження типу, виданий органом з оцінки відповідності, призначеним в установленому порядку на провадження діяльності щодо затвердження типу,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B94C1A"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машин, на які поширюється дія Технічного регламенту затвердження типу сільськогосподарських та лісогосподарських тракторів, їх причепів і змінних причіпних машин, систем, складових частин та окремих технічних вузлів, затвердженого постановою Кабінету Міністрів України від 28 грудня 2011 р. №1367</w:t>
      </w:r>
    </w:p>
    <w:p w:rsidR="00B94C1A" w:rsidRPr="009610D9" w:rsidRDefault="009610D9" w:rsidP="009610D9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B94C1A"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сертифікат відповідності затвердженому типу, оформлений виробником або його уповноваженим представником на підставі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сертифіката затвердження типу, </w:t>
      </w:r>
      <w:r w:rsidR="00B94C1A"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машин, на які поширюється дія Технічного регламенту затвердження типу сільськогосподарських та лісогосподарських тракторів, їх причепів і змінних причіпних машин, систем, складових частин та окремих технічних вузлів, затвердженого постановою Кабінету Міністрів України від 28 грудня 2011 р. № 1367;</w:t>
      </w:r>
    </w:p>
    <w:p w:rsidR="00B94C1A" w:rsidRPr="009610D9" w:rsidRDefault="009610D9" w:rsidP="009610D9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B94C1A"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 документи у випадках, визначених </w:t>
      </w:r>
      <w:r w:rsidR="00B94C1A" w:rsidRPr="009610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Порядком</w:t>
      </w:r>
      <w:r w:rsidR="00B94C1A"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94C1A" w:rsidRPr="009610D9" w:rsidRDefault="00B94C1A" w:rsidP="00B94C1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10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Реєстрація та зняття з обліку машин здійснюються після отримання власником відповідного висновку спеціаліста з проведення обстеження машини на відповідність ідентифікаційних номерів і супровідних документів на предмет фальсифікації за встановленою Мінекономіки формою.</w:t>
      </w:r>
    </w:p>
    <w:p w:rsidR="00B94C1A" w:rsidRPr="009610D9" w:rsidRDefault="00B94C1A" w:rsidP="009610D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кожну зареєстровану машину видається свідоцтво про реєстрацію машини або талон тимчасового обліку машини (далі </w:t>
      </w:r>
      <w:r w:rsid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реєстраційний документ), зразки яких затверджено постановою Кабінету Міністрів України від 31 січня 1992 р.№ 47 та номерний знак, що виготовляється згідно з державними стандартами. На причіпне, навісне обладнання (крім тракторних причепів і прирівняних до них машин) та інвентар номерні знаки не видаються. </w:t>
      </w:r>
    </w:p>
    <w:p w:rsidR="00B94C1A" w:rsidRPr="009610D9" w:rsidRDefault="00B94C1A" w:rsidP="00B94C1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10D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Перереєстрація машин проводиться у разі зміни</w:t>
      </w:r>
      <w:r w:rsidRPr="009610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</w:t>
      </w:r>
    </w:p>
    <w:p w:rsidR="00B94C1A" w:rsidRPr="009610D9" w:rsidRDefault="009610D9" w:rsidP="009610D9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B94C1A"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прізвища, ім'я та по батькові, місця проживання (перебування) власника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B94C1A"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фізичної особи, що підтверджується відповідними документами;</w:t>
      </w:r>
    </w:p>
    <w:p w:rsidR="00B94C1A" w:rsidRPr="009610D9" w:rsidRDefault="009610D9" w:rsidP="009610D9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B94C1A"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місцезнаходження, організаційно-правової форми або найменування власника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B94C1A"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юридичної особи, що підтверджується відповідними документами;</w:t>
      </w:r>
    </w:p>
    <w:p w:rsidR="00B94C1A" w:rsidRPr="009610D9" w:rsidRDefault="009610D9" w:rsidP="009610D9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B94C1A"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типу машини у разі переобладнання або заміни складових частин (вузлів і агрегатів) з ідентифікаційними номерами, що підтверджується документами про правомірність придбання складових частин (вузлів і агрегатів).</w:t>
      </w:r>
    </w:p>
    <w:p w:rsidR="00B94C1A" w:rsidRPr="009610D9" w:rsidRDefault="00B94C1A" w:rsidP="00B94C1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Перереєстрація машин проводиться також у разі виникнення потреби у внесенні змін до графи «Особливі відмітки» реєстраційного документа або проведенні обміну реєстраційних документів, що прийшли у непридатний стан, а також після присвоєння ідентифікаційних номерів машинам (складовим частинам), які не мали таких номерів.</w:t>
      </w:r>
    </w:p>
    <w:p w:rsidR="00BA45BD" w:rsidRPr="00F66981" w:rsidRDefault="00B94C1A" w:rsidP="009610D9">
      <w:pP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Зняття з обліку машин</w:t>
      </w:r>
      <w:r w:rsidR="00F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:</w:t>
      </w:r>
    </w:p>
    <w:p w:rsidR="00B94C1A" w:rsidRPr="009610D9" w:rsidRDefault="00B94C1A" w:rsidP="009610D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>З обліку машина знімається у зв'язку з її відчуженням чи вибракуванням </w:t>
      </w:r>
      <w:r w:rsidRPr="009610D9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протягом семи днів</w:t>
      </w:r>
      <w:r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> на підставі заяви власника або уповноваженої ним особи, до якої додаються:</w:t>
      </w:r>
    </w:p>
    <w:p w:rsidR="00B94C1A" w:rsidRPr="009610D9" w:rsidRDefault="00B94C1A" w:rsidP="00B94C1A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документ, що посвідчує особу представника власника машини та його повноваження (у разі потреби);</w:t>
      </w:r>
    </w:p>
    <w:p w:rsidR="00B94C1A" w:rsidRPr="009610D9" w:rsidRDefault="00B94C1A" w:rsidP="00B94C1A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свідоцтво про реєстрацію;</w:t>
      </w:r>
    </w:p>
    <w:p w:rsidR="00B94C1A" w:rsidRPr="009610D9" w:rsidRDefault="00B94C1A" w:rsidP="00B94C1A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власника про зняття машини з обліку (для юридичної особи);</w:t>
      </w:r>
    </w:p>
    <w:p w:rsidR="00B94C1A" w:rsidRPr="009610D9" w:rsidRDefault="00B94C1A" w:rsidP="00B94C1A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згоди або дозволу на зняття машини з обліку відповідного суб'єкта управління майном (для державних та комунальних підприємств);</w:t>
      </w:r>
    </w:p>
    <w:p w:rsidR="00B94C1A" w:rsidRPr="009610D9" w:rsidRDefault="00B94C1A" w:rsidP="00B94C1A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>письмова згода співвласників на зняття машини з обліку, що засвідчується в установленому порядку (для зняття з обліку машини, зареєстрованої з урахуванням пп. 1 п. 8 </w:t>
      </w:r>
      <w:r w:rsidRPr="009610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Порядку</w:t>
      </w:r>
      <w:r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B94C1A" w:rsidRPr="009610D9" w:rsidRDefault="00B94C1A" w:rsidP="00B94C1A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загальних зборів колективного сільськогосподарського підприємства про зняття машини з обліку;</w:t>
      </w:r>
    </w:p>
    <w:p w:rsidR="00B94C1A" w:rsidRPr="009610D9" w:rsidRDefault="00B94C1A" w:rsidP="00B94C1A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засвідчене в установленому порядку рішення власника або суду про ліквідацію юридичної особи (для зняття з обліку машини у зв'язку з ліквідацією юридичної особи);</w:t>
      </w:r>
    </w:p>
    <w:p w:rsidR="00B94C1A" w:rsidRPr="009610D9" w:rsidRDefault="00B94C1A" w:rsidP="00B94C1A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 документи у випадках, визначених </w:t>
      </w:r>
      <w:r w:rsidRPr="009610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Порядком</w:t>
      </w:r>
      <w:r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94C1A" w:rsidRPr="009610D9" w:rsidRDefault="00B94C1A" w:rsidP="00B94C1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зняття з обліку машини у зв’язку з відчуженням номерний знак власник здає до </w:t>
      </w:r>
      <w:r w:rsidR="004944AF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територіального органу Держпродспоживслужби</w:t>
      </w:r>
      <w:r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>. У свідоцтві про реєстрацію машини робиться запис </w:t>
      </w:r>
      <w:r w:rsidRPr="009610D9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«Знято з обліку для реалізації»</w:t>
      </w:r>
      <w:r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транспортування знятої з обліку машини </w:t>
      </w:r>
      <w:r w:rsidR="004944A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Держпродспоживслужба</w:t>
      </w:r>
      <w:bookmarkStart w:id="0" w:name="_GoBack"/>
      <w:bookmarkEnd w:id="0"/>
      <w:r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видає номерний знак </w:t>
      </w:r>
      <w:r w:rsidRPr="009610D9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«Транзит»</w:t>
      </w:r>
      <w:r w:rsidRPr="009610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54CB9" w:rsidRPr="009610D9" w:rsidRDefault="00A54CB9" w:rsidP="00B94C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4CB9" w:rsidRPr="009610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64A"/>
    <w:multiLevelType w:val="multilevel"/>
    <w:tmpl w:val="2F70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74802"/>
    <w:multiLevelType w:val="multilevel"/>
    <w:tmpl w:val="946E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A0D06"/>
    <w:multiLevelType w:val="multilevel"/>
    <w:tmpl w:val="8A66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D7488"/>
    <w:multiLevelType w:val="multilevel"/>
    <w:tmpl w:val="89FC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F77DB"/>
    <w:multiLevelType w:val="multilevel"/>
    <w:tmpl w:val="B5A61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7D7150"/>
    <w:multiLevelType w:val="multilevel"/>
    <w:tmpl w:val="C62A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C23377"/>
    <w:multiLevelType w:val="multilevel"/>
    <w:tmpl w:val="17E4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A1511A"/>
    <w:multiLevelType w:val="multilevel"/>
    <w:tmpl w:val="1322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4C547D"/>
    <w:multiLevelType w:val="multilevel"/>
    <w:tmpl w:val="F20C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813289"/>
    <w:multiLevelType w:val="multilevel"/>
    <w:tmpl w:val="EBFE2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AA"/>
    <w:rsid w:val="001C75F5"/>
    <w:rsid w:val="004944AF"/>
    <w:rsid w:val="006F27BC"/>
    <w:rsid w:val="00860803"/>
    <w:rsid w:val="009610D9"/>
    <w:rsid w:val="009D51F9"/>
    <w:rsid w:val="00A54CB9"/>
    <w:rsid w:val="00B94C1A"/>
    <w:rsid w:val="00BA45BD"/>
    <w:rsid w:val="00D635AA"/>
    <w:rsid w:val="00F6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3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35A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a0"/>
    <w:rsid w:val="00D635AA"/>
  </w:style>
  <w:style w:type="character" w:styleId="a3">
    <w:name w:val="Hyperlink"/>
    <w:basedOn w:val="a0"/>
    <w:uiPriority w:val="99"/>
    <w:semiHidden/>
    <w:unhideWhenUsed/>
    <w:rsid w:val="00D635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B94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3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35A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a0"/>
    <w:rsid w:val="00D635AA"/>
  </w:style>
  <w:style w:type="character" w:styleId="a3">
    <w:name w:val="Hyperlink"/>
    <w:basedOn w:val="a0"/>
    <w:uiPriority w:val="99"/>
    <w:semiHidden/>
    <w:unhideWhenUsed/>
    <w:rsid w:val="00D635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B94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694-2009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6</cp:revision>
  <dcterms:created xsi:type="dcterms:W3CDTF">2021-12-13T08:39:00Z</dcterms:created>
  <dcterms:modified xsi:type="dcterms:W3CDTF">2021-12-16T11:17:00Z</dcterms:modified>
</cp:coreProperties>
</file>